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74" w:rsidRPr="00863674" w:rsidRDefault="00863674" w:rsidP="00863674">
      <w:pPr>
        <w:pStyle w:val="Kop2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Toc525290629"/>
      <w:r w:rsidRPr="00863674">
        <w:rPr>
          <w:rFonts w:asciiTheme="majorHAnsi" w:hAnsiTheme="majorHAnsi" w:cstheme="majorHAnsi"/>
          <w:b/>
          <w:bCs/>
          <w:sz w:val="22"/>
          <w:szCs w:val="22"/>
        </w:rPr>
        <w:t xml:space="preserve">Leerdoelen lesbrief </w:t>
      </w:r>
      <w:r w:rsidRPr="00863674">
        <w:rPr>
          <w:rFonts w:asciiTheme="majorHAnsi" w:hAnsiTheme="majorHAnsi" w:cstheme="majorHAnsi"/>
          <w:b/>
          <w:bCs/>
          <w:sz w:val="22"/>
          <w:szCs w:val="22"/>
        </w:rPr>
        <w:t xml:space="preserve">Jong en Oud </w:t>
      </w:r>
      <w:bookmarkStart w:id="1" w:name="_GoBack"/>
      <w:bookmarkEnd w:id="0"/>
      <w:bookmarkEnd w:id="1"/>
    </w:p>
    <w:p w:rsidR="00863674" w:rsidRPr="00863674" w:rsidRDefault="00863674" w:rsidP="00863674">
      <w:pPr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 w:rsidP="00863674">
      <w:pPr>
        <w:pStyle w:val="Kop4"/>
        <w:rPr>
          <w:rFonts w:asciiTheme="majorHAnsi" w:hAnsiTheme="majorHAnsi" w:cstheme="majorHAnsi"/>
          <w:sz w:val="22"/>
          <w:szCs w:val="22"/>
        </w:rPr>
      </w:pPr>
      <w:bookmarkStart w:id="2" w:name="_Toc525290630"/>
      <w:r w:rsidRPr="00863674">
        <w:rPr>
          <w:rFonts w:asciiTheme="majorHAnsi" w:hAnsiTheme="majorHAnsi" w:cstheme="majorHAnsi"/>
          <w:sz w:val="22"/>
          <w:szCs w:val="22"/>
        </w:rPr>
        <w:t>hoofdstuk 1</w:t>
      </w:r>
      <w:bookmarkEnd w:id="2"/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voordelen en nadelen van keuzes vaststellen en afwegen.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aantonen wanneer er sprake is van meeliftgedrag.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situaties herkennen waarin zich een gevangenendilemma voordoet.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verklaren waarom de spelers in een gevangenendilemma niet kiezen voor samenwerking.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verklaren dat door een bindende afspraak de spelers in een gevangenendilemma samen gaan werken.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voorspellen wat de uitkomst is van een gevangenendilemma.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drie fasen van de levensloop noemen.</w:t>
      </w:r>
    </w:p>
    <w:p w:rsidR="00863674" w:rsidRPr="00863674" w:rsidRDefault="00863674" w:rsidP="00863674">
      <w:pPr>
        <w:pStyle w:val="Lijstalinea"/>
        <w:numPr>
          <w:ilvl w:val="0"/>
          <w:numId w:val="0"/>
        </w:numPr>
        <w:ind w:left="360"/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 w:rsidP="00863674">
      <w:pPr>
        <w:pStyle w:val="Kop4"/>
        <w:rPr>
          <w:rFonts w:asciiTheme="majorHAnsi" w:hAnsiTheme="majorHAnsi" w:cstheme="majorHAnsi"/>
          <w:sz w:val="22"/>
          <w:szCs w:val="22"/>
        </w:rPr>
      </w:pPr>
      <w:bookmarkStart w:id="3" w:name="_Toc525290631"/>
      <w:r w:rsidRPr="00863674">
        <w:rPr>
          <w:rFonts w:asciiTheme="majorHAnsi" w:hAnsiTheme="majorHAnsi" w:cstheme="majorHAnsi"/>
          <w:sz w:val="22"/>
          <w:szCs w:val="22"/>
        </w:rPr>
        <w:t>hoofdstuk 2</w:t>
      </w:r>
      <w:bookmarkEnd w:id="3"/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verklaren dat rente de prijs is voor het uitstellen van consumptie.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uitleggen dat sparen en lenen voorbeelden zijn van ruilen over de tijd.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prijs van sparen en lenen verklaren.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afweging maken tussen consumeren, lenen en sparen en dit verklaren.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invloed van inflatie op sparen en lenen verklaren.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met behulp van tabellen berekeningen maken.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onderscheid maken tussen voorraadgrootheden en stroomgrootheden.</w:t>
      </w:r>
    </w:p>
    <w:p w:rsidR="00863674" w:rsidRPr="00863674" w:rsidRDefault="00863674" w:rsidP="00863674">
      <w:pPr>
        <w:pStyle w:val="Lijstalinea"/>
        <w:numPr>
          <w:ilvl w:val="0"/>
          <w:numId w:val="0"/>
        </w:numPr>
        <w:ind w:left="360"/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 w:rsidP="00863674">
      <w:pPr>
        <w:pStyle w:val="Kop4"/>
        <w:rPr>
          <w:rFonts w:asciiTheme="majorHAnsi" w:hAnsiTheme="majorHAnsi" w:cstheme="majorHAnsi"/>
          <w:sz w:val="22"/>
          <w:szCs w:val="22"/>
        </w:rPr>
      </w:pPr>
      <w:bookmarkStart w:id="4" w:name="_Toc525290632"/>
      <w:r w:rsidRPr="00863674">
        <w:rPr>
          <w:rFonts w:asciiTheme="majorHAnsi" w:hAnsiTheme="majorHAnsi" w:cstheme="majorHAnsi"/>
          <w:sz w:val="22"/>
          <w:szCs w:val="22"/>
        </w:rPr>
        <w:t>hoofdstuk 3</w:t>
      </w:r>
      <w:bookmarkEnd w:id="4"/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verschillende inkomenscategorieën classificeren.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uitleggen hoe de inkomensverdeling genivelleerd en gedenivelleerd kan worden.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een loonstrook interpreteren.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inkomensheffing berekenen en deze analyseren.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uitleggen wat de effecten zijn van overheidsmaatregelen op de inkomensverdeling.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verschillende belastingstelsels onderscheiden</w:t>
      </w:r>
      <w:r w:rsidRPr="00863674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863674">
        <w:rPr>
          <w:rFonts w:asciiTheme="majorHAnsi" w:hAnsiTheme="majorHAnsi" w:cstheme="majorHAnsi"/>
          <w:sz w:val="22"/>
          <w:szCs w:val="22"/>
        </w:rPr>
        <w:t>en beschrijven.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met behulp van de gemiddelde belastingdruk bepalen welk belastingstelsel wordt toegepast.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gevolgen van belastingheffing uitleggen voor de inkomens en daarbij gebruik maken van de begrippen marginaal belastingtarief en heffingskorting.</w:t>
      </w:r>
    </w:p>
    <w:p w:rsidR="00863674" w:rsidRPr="00863674" w:rsidRDefault="00863674" w:rsidP="00863674">
      <w:pPr>
        <w:pStyle w:val="Lijstalinea"/>
        <w:numPr>
          <w:ilvl w:val="0"/>
          <w:numId w:val="0"/>
        </w:numPr>
        <w:ind w:left="360"/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 w:rsidP="00863674">
      <w:pPr>
        <w:pStyle w:val="Kop4"/>
        <w:rPr>
          <w:rFonts w:asciiTheme="majorHAnsi" w:hAnsiTheme="majorHAnsi" w:cstheme="majorHAnsi"/>
          <w:sz w:val="22"/>
          <w:szCs w:val="22"/>
        </w:rPr>
      </w:pPr>
      <w:bookmarkStart w:id="5" w:name="_Toc525290633"/>
      <w:r w:rsidRPr="00863674">
        <w:rPr>
          <w:rFonts w:asciiTheme="majorHAnsi" w:hAnsiTheme="majorHAnsi" w:cstheme="majorHAnsi"/>
          <w:sz w:val="22"/>
          <w:szCs w:val="22"/>
        </w:rPr>
        <w:t>hoofdstuk 4</w:t>
      </w:r>
      <w:bookmarkEnd w:id="5"/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 xml:space="preserve">gegevens over de inkomensverdeling bewerken en er een </w:t>
      </w:r>
      <w:proofErr w:type="spellStart"/>
      <w:r w:rsidRPr="00863674">
        <w:rPr>
          <w:rFonts w:asciiTheme="majorHAnsi" w:hAnsiTheme="majorHAnsi" w:cstheme="majorHAnsi"/>
          <w:sz w:val="22"/>
          <w:szCs w:val="22"/>
        </w:rPr>
        <w:t>lorenzcurve</w:t>
      </w:r>
      <w:proofErr w:type="spellEnd"/>
      <w:r w:rsidRPr="00863674">
        <w:rPr>
          <w:rFonts w:asciiTheme="majorHAnsi" w:hAnsiTheme="majorHAnsi" w:cstheme="majorHAnsi"/>
          <w:sz w:val="22"/>
          <w:szCs w:val="22"/>
        </w:rPr>
        <w:t xml:space="preserve"> mee tekenen.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 xml:space="preserve">een </w:t>
      </w:r>
      <w:proofErr w:type="spellStart"/>
      <w:r w:rsidRPr="00863674">
        <w:rPr>
          <w:rFonts w:asciiTheme="majorHAnsi" w:hAnsiTheme="majorHAnsi" w:cstheme="majorHAnsi"/>
          <w:sz w:val="22"/>
          <w:szCs w:val="22"/>
        </w:rPr>
        <w:t>lorenzcurve</w:t>
      </w:r>
      <w:proofErr w:type="spellEnd"/>
      <w:r w:rsidRPr="00863674">
        <w:rPr>
          <w:rFonts w:asciiTheme="majorHAnsi" w:hAnsiTheme="majorHAnsi" w:cstheme="majorHAnsi"/>
          <w:sz w:val="22"/>
          <w:szCs w:val="22"/>
        </w:rPr>
        <w:t xml:space="preserve"> interpreteren.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 xml:space="preserve">het schever en minder scheef worden van de inkomensverdeling beargumenteren aan de hand van </w:t>
      </w:r>
      <w:proofErr w:type="spellStart"/>
      <w:r w:rsidRPr="00863674">
        <w:rPr>
          <w:rFonts w:asciiTheme="majorHAnsi" w:hAnsiTheme="majorHAnsi" w:cstheme="majorHAnsi"/>
          <w:sz w:val="22"/>
          <w:szCs w:val="22"/>
        </w:rPr>
        <w:t>lorenzcurven</w:t>
      </w:r>
      <w:proofErr w:type="spellEnd"/>
      <w:r w:rsidRPr="00863674">
        <w:rPr>
          <w:rFonts w:asciiTheme="majorHAnsi" w:hAnsiTheme="majorHAnsi" w:cstheme="majorHAnsi"/>
          <w:sz w:val="22"/>
          <w:szCs w:val="22"/>
        </w:rPr>
        <w:t xml:space="preserve"> en dit zowel grafisch als rekenkundig onderbouwen.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 xml:space="preserve">verklaren waarom </w:t>
      </w:r>
      <w:proofErr w:type="spellStart"/>
      <w:r w:rsidRPr="00863674">
        <w:rPr>
          <w:rFonts w:asciiTheme="majorHAnsi" w:hAnsiTheme="majorHAnsi" w:cstheme="majorHAnsi"/>
          <w:sz w:val="22"/>
          <w:szCs w:val="22"/>
        </w:rPr>
        <w:t>lorenzcurven</w:t>
      </w:r>
      <w:proofErr w:type="spellEnd"/>
      <w:r w:rsidRPr="00863674">
        <w:rPr>
          <w:rFonts w:asciiTheme="majorHAnsi" w:hAnsiTheme="majorHAnsi" w:cstheme="majorHAnsi"/>
          <w:sz w:val="22"/>
          <w:szCs w:val="22"/>
        </w:rPr>
        <w:t xml:space="preserve"> van landen verschillen.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effecten van maatregelen op de inkomensverdeling analyseren en uitleggen of deze een nivellerende, denivellerende of een neutrale werking hebben.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 xml:space="preserve">met behulp van de </w:t>
      </w:r>
      <w:proofErr w:type="spellStart"/>
      <w:r w:rsidRPr="00863674">
        <w:rPr>
          <w:rFonts w:asciiTheme="majorHAnsi" w:hAnsiTheme="majorHAnsi" w:cstheme="majorHAnsi"/>
          <w:sz w:val="22"/>
          <w:szCs w:val="22"/>
        </w:rPr>
        <w:t>lorenzcurve</w:t>
      </w:r>
      <w:proofErr w:type="spellEnd"/>
      <w:r w:rsidRPr="00863674">
        <w:rPr>
          <w:rFonts w:asciiTheme="majorHAnsi" w:hAnsiTheme="majorHAnsi" w:cstheme="majorHAnsi"/>
          <w:sz w:val="22"/>
          <w:szCs w:val="22"/>
        </w:rPr>
        <w:t xml:space="preserve"> de verdeling van het primaire inkomen en het secundaire inkomen weergeven en dit zowel grafisch en rekenkundig onderbouwen.</w:t>
      </w:r>
    </w:p>
    <w:p w:rsidR="00863674" w:rsidRPr="00863674" w:rsidRDefault="00863674" w:rsidP="00863674">
      <w:pPr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 w:rsidP="00863674">
      <w:pPr>
        <w:pStyle w:val="Kop4"/>
        <w:jc w:val="left"/>
        <w:rPr>
          <w:rFonts w:asciiTheme="majorHAnsi" w:hAnsiTheme="majorHAnsi" w:cstheme="majorHAnsi"/>
          <w:sz w:val="22"/>
          <w:szCs w:val="22"/>
        </w:rPr>
      </w:pPr>
      <w:bookmarkStart w:id="6" w:name="_Toc525290634"/>
      <w:r w:rsidRPr="00863674">
        <w:rPr>
          <w:rFonts w:asciiTheme="majorHAnsi" w:hAnsiTheme="majorHAnsi" w:cstheme="majorHAnsi"/>
          <w:sz w:val="22"/>
          <w:szCs w:val="22"/>
        </w:rPr>
        <w:t>hoofdstuk 5</w:t>
      </w:r>
      <w:bookmarkEnd w:id="6"/>
    </w:p>
    <w:p w:rsidR="00863674" w:rsidRPr="00863674" w:rsidRDefault="00863674" w:rsidP="00863674">
      <w:pPr>
        <w:pStyle w:val="Lijstalinea"/>
        <w:keepNext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productiefactoren noemen en hun beloningen onderscheiden.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verschillende soorten kosten en opbrengsten onderscheiden en er berekeningen mee maken.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een resultatenrekening samenstellen en interpreteren.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uitleggen dat produceren het toevoegen van waarde is aan de inkoopwaarde van de grond</w:t>
      </w:r>
      <w:r w:rsidRPr="00863674">
        <w:rPr>
          <w:rFonts w:asciiTheme="majorHAnsi" w:hAnsiTheme="majorHAnsi" w:cstheme="majorHAnsi"/>
          <w:sz w:val="22"/>
          <w:szCs w:val="22"/>
        </w:rPr>
        <w:softHyphen/>
        <w:t>stoffen.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uitleggen dat de verdiende inkomens de beloningen van de productiefactoren zijn, die betaald worden uit de productiewaarde.</w:t>
      </w:r>
    </w:p>
    <w:p w:rsidR="00863674" w:rsidRPr="00863674" w:rsidRDefault="00863674" w:rsidP="00863674">
      <w:pPr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 w:rsidP="00863674">
      <w:pPr>
        <w:pStyle w:val="Kop4"/>
        <w:jc w:val="left"/>
        <w:rPr>
          <w:rFonts w:asciiTheme="majorHAnsi" w:hAnsiTheme="majorHAnsi" w:cstheme="majorHAnsi"/>
          <w:sz w:val="22"/>
          <w:szCs w:val="22"/>
        </w:rPr>
      </w:pPr>
      <w:bookmarkStart w:id="7" w:name="_Toc525290635"/>
      <w:r w:rsidRPr="00863674">
        <w:rPr>
          <w:rFonts w:asciiTheme="majorHAnsi" w:hAnsiTheme="majorHAnsi" w:cstheme="majorHAnsi"/>
          <w:sz w:val="22"/>
          <w:szCs w:val="22"/>
        </w:rPr>
        <w:lastRenderedPageBreak/>
        <w:t>hoofdstuk 6</w:t>
      </w:r>
      <w:bookmarkEnd w:id="7"/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twee verschillen tussen particuliere verzekeringen en sociale verzekeringen beschrijven.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twee verschillen tussen werknemersverzekeringen en volksverzekeringen beschrijven.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het verband tussen risico en premiehoogte verklaren.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het verband tussen solidariteit en premieheffing beschrijven.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uitleggen waarom er bij acceptatieplicht geen averechtse selectie is.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het verschil tussen omslagstelsel en kapitaaldekkingsstelsel uitleggen.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het gevolg van een eigen risico verklaren.</w:t>
      </w:r>
    </w:p>
    <w:p w:rsidR="00863674" w:rsidRPr="00863674" w:rsidRDefault="00863674" w:rsidP="00863674">
      <w:pPr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 w:rsidP="00863674">
      <w:pPr>
        <w:pStyle w:val="Kop4"/>
        <w:jc w:val="left"/>
        <w:rPr>
          <w:rFonts w:asciiTheme="majorHAnsi" w:hAnsiTheme="majorHAnsi" w:cstheme="majorHAnsi"/>
          <w:sz w:val="22"/>
          <w:szCs w:val="22"/>
        </w:rPr>
      </w:pPr>
      <w:bookmarkStart w:id="8" w:name="_Toc525290636"/>
      <w:r w:rsidRPr="00863674">
        <w:rPr>
          <w:rFonts w:asciiTheme="majorHAnsi" w:hAnsiTheme="majorHAnsi" w:cstheme="majorHAnsi"/>
          <w:sz w:val="22"/>
          <w:szCs w:val="22"/>
        </w:rPr>
        <w:t>hoofdstuk 7</w:t>
      </w:r>
      <w:bookmarkEnd w:id="8"/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woonlasten afwegen bij koop of huur.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stroomgrootheden en voorraadgrootheden onderscheiden.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consumentenprijsindex berekenen.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het verschil tussen reële en nominale grootheden uitleggen.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met indexcijfers een reële verandering berekenen bij gegeven nominale verandering en inflatie</w:t>
      </w:r>
      <w:r w:rsidRPr="00863674">
        <w:rPr>
          <w:rFonts w:asciiTheme="majorHAnsi" w:hAnsiTheme="majorHAnsi" w:cstheme="majorHAnsi"/>
          <w:sz w:val="22"/>
          <w:szCs w:val="22"/>
        </w:rPr>
        <w:softHyphen/>
        <w:t>percentage.</w:t>
      </w:r>
    </w:p>
    <w:p w:rsidR="00863674" w:rsidRPr="00863674" w:rsidRDefault="00863674" w:rsidP="00863674">
      <w:pPr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 w:rsidP="00863674">
      <w:pPr>
        <w:pStyle w:val="Kop4"/>
        <w:jc w:val="left"/>
        <w:rPr>
          <w:rFonts w:asciiTheme="majorHAnsi" w:hAnsiTheme="majorHAnsi" w:cstheme="majorHAnsi"/>
          <w:sz w:val="22"/>
          <w:szCs w:val="22"/>
        </w:rPr>
      </w:pPr>
      <w:bookmarkStart w:id="9" w:name="_Toc525290637"/>
      <w:r w:rsidRPr="00863674">
        <w:rPr>
          <w:rFonts w:asciiTheme="majorHAnsi" w:hAnsiTheme="majorHAnsi" w:cstheme="majorHAnsi"/>
          <w:sz w:val="22"/>
          <w:szCs w:val="22"/>
        </w:rPr>
        <w:t>hoofdstuk 8</w:t>
      </w:r>
      <w:bookmarkEnd w:id="9"/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het verschil uitleggen tussen omslagstelsel en kapitaaldekkingsstelsel.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uitleggen dat er bij bedrijfspensioenen wordt geruild over de tijd.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drie inkomstenbronnen van ouderen noemen.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het verschil tussen AOW en pensioen uitleggen.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het verschil uitleggen tussen de begrippen waardevast en welvaartsvast.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een aantal beleggingsvormen noemen.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verschillende beleggingsvormen tegen elkaar afwegen.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uitleggen hoe een verandering van de verhouding tussen actieven en inactieven gevolgen kan hebben voor de hoogte van de AOW-premies en de hoogte van de AOW-uitkeringen.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uitleggen dat vergrijzing een verhoging van de participatiegraad noodzakelijk kan maken.</w:t>
      </w:r>
    </w:p>
    <w:p w:rsidR="00863674" w:rsidRPr="00863674" w:rsidRDefault="00863674" w:rsidP="00863674">
      <w:pPr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 w:rsidP="00863674">
      <w:pPr>
        <w:pStyle w:val="Kop4"/>
        <w:jc w:val="left"/>
        <w:rPr>
          <w:rFonts w:asciiTheme="majorHAnsi" w:hAnsiTheme="majorHAnsi" w:cstheme="majorHAnsi"/>
          <w:sz w:val="22"/>
          <w:szCs w:val="22"/>
        </w:rPr>
      </w:pPr>
      <w:bookmarkStart w:id="10" w:name="_Toc525290638"/>
      <w:r w:rsidRPr="00863674">
        <w:rPr>
          <w:rFonts w:asciiTheme="majorHAnsi" w:hAnsiTheme="majorHAnsi" w:cstheme="majorHAnsi"/>
          <w:sz w:val="22"/>
          <w:szCs w:val="22"/>
        </w:rPr>
        <w:t>hoofdstuk 9</w:t>
      </w:r>
      <w:bookmarkEnd w:id="10"/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overdrachten tussen generaties verklaren en ze grafisch en rekenkundig interpreteren.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het profijtbeginsel uitleggen en toepassen.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de invloed van veranderingen in de omvang en samenstelling van de bevolking op de financiering van de oudedagsvoorziening uitleggen.</w:t>
      </w:r>
    </w:p>
    <w:p w:rsidR="00863674" w:rsidRPr="00863674" w:rsidRDefault="00863674" w:rsidP="00863674">
      <w:pPr>
        <w:pStyle w:val="Lijstalinea"/>
        <w:ind w:left="360"/>
        <w:rPr>
          <w:rFonts w:asciiTheme="majorHAnsi" w:hAnsiTheme="majorHAnsi" w:cstheme="majorHAnsi"/>
          <w:sz w:val="22"/>
          <w:szCs w:val="22"/>
        </w:rPr>
      </w:pPr>
      <w:r w:rsidRPr="00863674">
        <w:rPr>
          <w:rFonts w:asciiTheme="majorHAnsi" w:hAnsiTheme="majorHAnsi" w:cstheme="majorHAnsi"/>
          <w:sz w:val="22"/>
          <w:szCs w:val="22"/>
        </w:rPr>
        <w:t>voordelen en nadelen noemen van oplossingen voor de toenemende kosten van vergrijzing en dit toelichten.</w:t>
      </w:r>
    </w:p>
    <w:p w:rsidR="00863674" w:rsidRPr="00863674" w:rsidRDefault="00863674" w:rsidP="00863674">
      <w:pPr>
        <w:pStyle w:val="Opgave"/>
        <w:ind w:left="0"/>
        <w:jc w:val="left"/>
        <w:rPr>
          <w:rFonts w:asciiTheme="majorHAnsi" w:hAnsiTheme="majorHAnsi" w:cstheme="majorHAnsi"/>
          <w:sz w:val="22"/>
          <w:szCs w:val="22"/>
        </w:rPr>
      </w:pPr>
    </w:p>
    <w:p w:rsidR="00863674" w:rsidRPr="00863674" w:rsidRDefault="00863674">
      <w:pPr>
        <w:rPr>
          <w:rFonts w:asciiTheme="majorHAnsi" w:hAnsiTheme="majorHAnsi" w:cstheme="majorHAnsi"/>
          <w:sz w:val="22"/>
          <w:szCs w:val="22"/>
        </w:rPr>
      </w:pPr>
    </w:p>
    <w:sectPr w:rsidR="00863674" w:rsidRPr="0086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draatSans-Regular">
    <w:altName w:val="Century"/>
    <w:charset w:val="00"/>
    <w:family w:val="auto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adraatSansCon-Bold">
    <w:altName w:val="Centaur"/>
    <w:charset w:val="00"/>
    <w:family w:val="auto"/>
    <w:pitch w:val="variable"/>
    <w:sig w:usb0="80000027" w:usb1="00000000" w:usb2="00000000" w:usb3="00000000" w:csb0="00000001" w:csb1="00000000"/>
  </w:font>
  <w:font w:name="QuadraatSansCon-BoldItalic">
    <w:altName w:val="Calibri"/>
    <w:charset w:val="00"/>
    <w:family w:val="auto"/>
    <w:pitch w:val="variable"/>
    <w:sig w:usb0="80000027" w:usb1="00000000" w:usb2="00000000" w:usb3="00000000" w:csb0="00000001" w:csb1="00000000"/>
  </w:font>
  <w:font w:name="Quadraat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5EE8"/>
    <w:multiLevelType w:val="hybridMultilevel"/>
    <w:tmpl w:val="E9BC8994"/>
    <w:lvl w:ilvl="0" w:tplc="1D2CA90A">
      <w:start w:val="1"/>
      <w:numFmt w:val="bullet"/>
      <w:pStyle w:val="Lijstalinea"/>
      <w:lvlText w:val="•"/>
      <w:lvlJc w:val="left"/>
      <w:pPr>
        <w:ind w:left="717" w:hanging="360"/>
      </w:pPr>
      <w:rPr>
        <w:rFonts w:ascii="QuadraatSans-Regular" w:hAnsi="QuadraatSans-Regular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74"/>
    <w:rsid w:val="008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D75B"/>
  <w15:chartTrackingRefBased/>
  <w15:docId w15:val="{804D447F-26A5-4400-92EB-710AB285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63674"/>
    <w:pPr>
      <w:suppressAutoHyphens/>
      <w:spacing w:after="0" w:line="240" w:lineRule="auto"/>
      <w:jc w:val="both"/>
    </w:pPr>
    <w:rPr>
      <w:rFonts w:ascii="QuadraatSans-Regular" w:eastAsia="MS Mincho" w:hAnsi="QuadraatSans-Regular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3674"/>
    <w:pPr>
      <w:keepNext/>
      <w:keepLines/>
      <w:spacing w:before="40"/>
      <w:outlineLvl w:val="1"/>
    </w:pPr>
    <w:rPr>
      <w:rFonts w:ascii="QuadraatSansCon-Bold" w:eastAsiaTheme="majorEastAsia" w:hAnsi="QuadraatSansCon-Bold" w:cstheme="majorBidi"/>
      <w:sz w:val="24"/>
      <w:szCs w:val="26"/>
    </w:rPr>
  </w:style>
  <w:style w:type="paragraph" w:styleId="Kop4">
    <w:name w:val="heading 4"/>
    <w:basedOn w:val="Standaard"/>
    <w:next w:val="Standaard"/>
    <w:link w:val="Kop4Char"/>
    <w:qFormat/>
    <w:rsid w:val="00863674"/>
    <w:pPr>
      <w:keepNext/>
      <w:outlineLvl w:val="3"/>
    </w:pPr>
    <w:rPr>
      <w:rFonts w:ascii="QuadraatSansCon-BoldItalic" w:hAnsi="QuadraatSansCon-BoldItalic"/>
      <w:i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63674"/>
    <w:rPr>
      <w:rFonts w:ascii="QuadraatSansCon-Bold" w:eastAsiaTheme="majorEastAsia" w:hAnsi="QuadraatSansCon-Bold" w:cstheme="majorBidi"/>
      <w:sz w:val="24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863674"/>
    <w:rPr>
      <w:rFonts w:ascii="QuadraatSansCon-BoldItalic" w:eastAsia="MS Mincho" w:hAnsi="QuadraatSansCon-BoldItalic" w:cs="Times New Roman"/>
      <w:iCs/>
      <w:color w:val="000000"/>
      <w:sz w:val="20"/>
      <w:szCs w:val="24"/>
      <w:lang w:eastAsia="nl-NL"/>
    </w:rPr>
  </w:style>
  <w:style w:type="paragraph" w:styleId="Lijstalinea">
    <w:name w:val="List Paragraph"/>
    <w:aliases w:val="Lijstpunt"/>
    <w:basedOn w:val="Standaard"/>
    <w:uiPriority w:val="34"/>
    <w:qFormat/>
    <w:rsid w:val="00863674"/>
    <w:pPr>
      <w:numPr>
        <w:numId w:val="1"/>
      </w:numPr>
      <w:contextualSpacing/>
    </w:pPr>
  </w:style>
  <w:style w:type="paragraph" w:customStyle="1" w:styleId="Opgave">
    <w:name w:val="Opgave"/>
    <w:basedOn w:val="Standaard"/>
    <w:qFormat/>
    <w:rsid w:val="00863674"/>
    <w:pPr>
      <w:tabs>
        <w:tab w:val="left" w:pos="284"/>
        <w:tab w:val="left" w:pos="567"/>
        <w:tab w:val="left" w:pos="851"/>
        <w:tab w:val="left" w:pos="1134"/>
        <w:tab w:val="left" w:pos="1418"/>
      </w:tabs>
      <w:overflowPunct w:val="0"/>
      <w:autoSpaceDE w:val="0"/>
      <w:autoSpaceDN w:val="0"/>
      <w:adjustRightInd w:val="0"/>
      <w:ind w:left="284"/>
      <w:contextualSpacing/>
      <w:textAlignment w:val="baseline"/>
    </w:pPr>
    <w:rPr>
      <w:rFonts w:ascii="Quadraat-Regular" w:eastAsia="Times New Roman" w:hAnsi="Quadraat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Bijveld, MMJ (Milou)</dc:creator>
  <cp:keywords/>
  <dc:description/>
  <cp:lastModifiedBy>Bijveld, MMJ (Milou)</cp:lastModifiedBy>
  <cp:revision>1</cp:revision>
  <dcterms:created xsi:type="dcterms:W3CDTF">2019-10-28T08:42:00Z</dcterms:created>
  <dcterms:modified xsi:type="dcterms:W3CDTF">2019-10-28T08:43:00Z</dcterms:modified>
</cp:coreProperties>
</file>